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9 декабря 2024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cs="PT Astra Sans"/>
          <w:b/>
          <w:color w:val="292c2f"/>
          <w:sz w:val="26"/>
          <w:szCs w:val="26"/>
        </w:rPr>
      </w:pPr>
      <w:r>
        <w:rPr>
          <w:rFonts w:ascii="PT Astra Sans" w:hAnsi="PT Astra Sans" w:eastAsia="PT Astra Sans" w:cs="PT Astra Sans"/>
          <w:b/>
          <w:color w:val="292c2f"/>
          <w:sz w:val="26"/>
          <w:szCs w:val="26"/>
        </w:rPr>
      </w:r>
      <w:r>
        <w:rPr>
          <w:rFonts w:ascii="PT Astra Sans" w:hAnsi="PT Astra Sans" w:cs="PT Astra Sans"/>
          <w:b/>
          <w:color w:val="292c2f"/>
          <w:sz w:val="26"/>
          <w:szCs w:val="26"/>
        </w:rPr>
      </w:r>
      <w:r>
        <w:rPr>
          <w:rFonts w:ascii="PT Astra Sans" w:hAnsi="PT Astra Sans" w:cs="PT Astra Sans"/>
          <w:b/>
          <w:color w:val="292c2f"/>
          <w:sz w:val="26"/>
          <w:szCs w:val="26"/>
        </w:rPr>
      </w:r>
    </w:p>
    <w:p>
      <w:pPr>
        <w:rPr>
          <w:rFonts w:ascii="PT Astra Sans" w:hAnsi="PT Astra Sans" w:cs="PT Astra Sans"/>
          <w:b/>
          <w:sz w:val="26"/>
          <w:szCs w:val="26"/>
        </w:rPr>
      </w:pPr>
      <w:r>
        <w:rPr>
          <w:rFonts w:ascii="PT Astra Sans" w:hAnsi="PT Astra Sans" w:eastAsia="PT Astra Sans" w:cs="PT Astra Sans"/>
          <w:b/>
          <w:sz w:val="26"/>
          <w:szCs w:val="26"/>
        </w:rPr>
        <w:t xml:space="preserve">Об обследовании</w:t>
      </w:r>
      <w:r>
        <w:rPr>
          <w:rFonts w:ascii="PT Astra Sans" w:hAnsi="PT Astra Sans" w:eastAsia="PT Astra Sans" w:cs="PT Astra Sans"/>
          <w:b/>
          <w:sz w:val="26"/>
          <w:szCs w:val="26"/>
        </w:rPr>
        <w:t xml:space="preserve"> пунктов государственной геодезической сети в 2024 году</w:t>
      </w:r>
      <w:r>
        <w:rPr>
          <w:rFonts w:ascii="PT Astra Sans" w:hAnsi="PT Astra Sans" w:cs="PT Astra Sans"/>
          <w:b/>
          <w:sz w:val="26"/>
          <w:szCs w:val="26"/>
        </w:rPr>
      </w:r>
      <w:r>
        <w:rPr>
          <w:rFonts w:ascii="PT Astra Sans" w:hAnsi="PT Astra Sans" w:cs="PT Astra Sans"/>
          <w:b/>
          <w:sz w:val="26"/>
          <w:szCs w:val="26"/>
        </w:rPr>
      </w:r>
    </w:p>
    <w:p>
      <w:pPr>
        <w:rPr>
          <w:rFonts w:ascii="PT Astra Sans" w:hAnsi="PT Astra Sans" w:cs="PT Astra Sans"/>
          <w:sz w:val="26"/>
          <w:szCs w:val="26"/>
        </w:rPr>
      </w:pPr>
      <w:r>
        <w:rPr>
          <w:rFonts w:ascii="PT Astra Sans" w:hAnsi="PT Astra Sans" w:eastAsia="PT Astra Sans" w:cs="PT Astra Sans"/>
          <w:sz w:val="26"/>
          <w:szCs w:val="26"/>
        </w:rPr>
      </w:r>
      <w:r>
        <w:rPr>
          <w:rFonts w:ascii="PT Astra Sans" w:hAnsi="PT Astra Sans" w:cs="PT Astra Sans"/>
          <w:sz w:val="26"/>
          <w:szCs w:val="26"/>
        </w:rPr>
      </w:r>
      <w:r>
        <w:rPr>
          <w:rFonts w:ascii="PT Astra Sans" w:hAnsi="PT Astra Sans" w:cs="PT Astra Sans"/>
          <w:sz w:val="26"/>
          <w:szCs w:val="26"/>
        </w:rPr>
      </w:r>
    </w:p>
    <w:p>
      <w:pPr>
        <w:ind w:left="0" w:right="0" w:firstLine="709"/>
        <w:jc w:val="both"/>
        <w:spacing w:line="240" w:lineRule="auto"/>
        <w:rPr>
          <w:rFonts w:ascii="PT Astra Sans" w:hAnsi="PT Astra Sans" w:eastAsia="PT Astra Sans" w:cs="PT Astra Sans"/>
          <w:sz w:val="26"/>
          <w:szCs w:val="26"/>
          <w:highlight w:val="none"/>
        </w:rPr>
      </w:pPr>
      <w:r>
        <w:rPr>
          <w:rFonts w:ascii="PT Astra Sans" w:hAnsi="PT Astra Sans" w:eastAsia="PT Astra Sans" w:cs="PT Astra Sans"/>
          <w:sz w:val="26"/>
          <w:szCs w:val="26"/>
        </w:rPr>
        <w:t xml:space="preserve">В 2024 году Управление </w:t>
      </w:r>
      <w:r>
        <w:rPr>
          <w:rFonts w:ascii="PT Astra Sans" w:hAnsi="PT Astra Sans" w:eastAsia="PT Astra Sans" w:cs="PT Astra Sans"/>
          <w:sz w:val="26"/>
          <w:szCs w:val="26"/>
        </w:rPr>
        <w:t xml:space="preserve">Росреестра</w:t>
      </w:r>
      <w:r>
        <w:rPr>
          <w:rFonts w:ascii="PT Astra Sans" w:hAnsi="PT Astra Sans" w:eastAsia="PT Astra Sans" w:cs="PT Astra Sans"/>
          <w:sz w:val="26"/>
          <w:szCs w:val="26"/>
        </w:rPr>
        <w:t xml:space="preserve"> по Иркутской области осуществляло обследование пунктов государственной геодезической, государственной нивелирной и государственной гравиметрической сетей, в том числе учет и обеспечение их</w:t>
      </w:r>
      <w:r>
        <w:rPr>
          <w:rFonts w:ascii="PT Astra Sans" w:hAnsi="PT Astra Sans" w:eastAsia="PT Astra Sans" w:cs="PT Astra Sans"/>
          <w:sz w:val="26"/>
          <w:szCs w:val="26"/>
        </w:rPr>
        <w:t xml:space="preserve"> сохранности. </w:t>
      </w:r>
      <w:r>
        <w:rPr>
          <w:rFonts w:ascii="PT Astra Sans" w:hAnsi="PT Astra Sans" w:eastAsia="PT Astra Sans" w:cs="PT Astra Sans"/>
          <w:sz w:val="26"/>
          <w:szCs w:val="26"/>
          <w:highlight w:val="none"/>
        </w:rPr>
      </w:r>
      <w:r>
        <w:rPr>
          <w:rFonts w:ascii="PT Astra Sans" w:hAnsi="PT Astra Sans" w:eastAsia="PT Astra Sans" w:cs="PT Astra Sans"/>
          <w:sz w:val="26"/>
          <w:szCs w:val="26"/>
          <w:highlight w:val="none"/>
        </w:rPr>
      </w:r>
      <w:r>
        <w:rPr>
          <w:rFonts w:ascii="PT Astra Sans" w:hAnsi="PT Astra Sans" w:eastAsia="PT Astra Sans" w:cs="PT Astra Sans"/>
          <w:sz w:val="26"/>
          <w:szCs w:val="26"/>
          <w:highlight w:val="none"/>
        </w:rPr>
      </w:r>
      <w:r>
        <w:rPr>
          <w:rFonts w:ascii="PT Astra Sans" w:hAnsi="PT Astra Sans" w:eastAsia="PT Astra Sans" w:cs="PT Astra Sans"/>
          <w:sz w:val="26"/>
          <w:szCs w:val="26"/>
          <w:highlight w:val="none"/>
        </w:rPr>
      </w:r>
      <w:r>
        <w:rPr>
          <w:rFonts w:ascii="PT Astra Sans" w:hAnsi="PT Astra Sans" w:cs="PT Astra Sans"/>
          <w:sz w:val="26"/>
          <w:szCs w:val="26"/>
          <w:highlight w:val="none"/>
        </w:rPr>
      </w:r>
      <w:r>
        <w:rPr>
          <w:rFonts w:ascii="PT Astra Sans" w:hAnsi="PT Astra Sans" w:eastAsia="PT Astra Sans" w:cs="PT Astra Sans"/>
          <w:sz w:val="26"/>
          <w:szCs w:val="26"/>
          <w:highlight w:val="none"/>
        </w:rPr>
      </w:r>
    </w:p>
    <w:p>
      <w:pPr>
        <w:ind w:left="0" w:right="0" w:firstLine="709"/>
        <w:jc w:val="both"/>
        <w:spacing w:line="240" w:lineRule="auto"/>
        <w:rPr>
          <w:rFonts w:ascii="PT Astra Sans" w:hAnsi="PT Astra Sans" w:cs="PT Astra Sans"/>
          <w:color w:val="auto"/>
          <w:sz w:val="26"/>
          <w:szCs w:val="26"/>
        </w:rPr>
      </w:pP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Всего в текущем году</w:t>
      </w: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 было обследовано 235 геодезических пунктов, из них 185 пунктов государственной геодезической сети, 49 пунктов государственной нивелирной сети и 1 пункт государственной гравиметрической сети</w:t>
      </w: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. </w:t>
      </w:r>
      <w:r>
        <w:rPr>
          <w:rFonts w:ascii="PT Astra Sans" w:hAnsi="PT Astra Sans" w:cs="PT Astra Sans"/>
          <w:color w:val="auto"/>
          <w:sz w:val="26"/>
          <w:szCs w:val="26"/>
        </w:rPr>
      </w:r>
      <w:r>
        <w:rPr>
          <w:rFonts w:ascii="PT Astra Sans" w:hAnsi="PT Astra Sans" w:cs="PT Astra Sans"/>
          <w:color w:val="auto"/>
          <w:sz w:val="26"/>
          <w:szCs w:val="26"/>
        </w:rPr>
      </w:r>
    </w:p>
    <w:p>
      <w:pPr>
        <w:ind w:left="0" w:right="0" w:firstLine="709"/>
        <w:jc w:val="both"/>
        <w:spacing w:line="240" w:lineRule="auto"/>
        <w:rPr>
          <w:rFonts w:ascii="PT Astra Sans" w:hAnsi="PT Astra Sans" w:eastAsia="PT Astra Sans" w:cs="PT Astra Sans"/>
          <w:sz w:val="26"/>
          <w:szCs w:val="26"/>
          <w:highlight w:val="none"/>
          <w14:ligatures w14:val="none"/>
        </w:rPr>
      </w:pP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В ходе обследования установлено, что из </w:t>
      </w: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235 геодезических пунктов</w:t>
      </w: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 сохранилось </w:t>
      </w: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170 пунктов, 55</w:t>
      </w: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 </w:t>
      </w: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пунктов не найдены, 4 </w:t>
      </w:r>
      <w:r>
        <w:rPr>
          <w:rFonts w:ascii="PT Astra Sans" w:hAnsi="PT Astra Sans" w:eastAsia="PT Astra Sans" w:cs="PT Astra Sans"/>
          <w:color w:val="auto"/>
          <w:sz w:val="26"/>
          <w:szCs w:val="26"/>
          <w:shd w:val="clear" w:color="auto" w:fill="ffffff"/>
          <w:lang w:val="ru-RU" w:bidi="ru-RU"/>
        </w:rPr>
        <w:t xml:space="preserve"> пункта </w:t>
      </w:r>
      <w:r>
        <w:rPr>
          <w:rFonts w:ascii="PT Astra Sans" w:hAnsi="PT Astra Sans" w:eastAsia="PT Astra Sans" w:cs="PT Astra Sans"/>
          <w:color w:val="auto"/>
          <w:sz w:val="26"/>
          <w:szCs w:val="26"/>
          <w:shd w:val="clear" w:color="auto" w:fill="ffffff"/>
          <w:lang w:val="ru-RU" w:bidi="ru-RU"/>
        </w:rPr>
        <w:t xml:space="preserve">повреждены</w:t>
      </w: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, 6 пунктов уничтожено.</w:t>
      </w:r>
      <w:r>
        <w:rPr>
          <w:rFonts w:ascii="PT Astra Sans" w:hAnsi="PT Astra Sans" w:eastAsia="PT Astra Sans" w:cs="PT Astra Sans"/>
          <w:color w:val="auto"/>
          <w:sz w:val="26"/>
          <w:szCs w:val="26"/>
        </w:rPr>
      </w:r>
      <w:r>
        <w:rPr>
          <w:rFonts w:ascii="PT Astra Sans" w:hAnsi="PT Astra Sans" w:eastAsia="PT Astra Sans" w:cs="PT Astra Sans"/>
          <w:sz w:val="26"/>
          <w:szCs w:val="26"/>
          <w:highlight w:val="none"/>
          <w14:ligatures w14:val="none"/>
        </w:rPr>
      </w:r>
      <w:r>
        <w:rPr>
          <w:rFonts w:ascii="PT Astra Sans" w:hAnsi="PT Astra Sans" w:eastAsia="PT Astra Sans" w:cs="PT Astra Sans"/>
          <w:sz w:val="26"/>
          <w:szCs w:val="26"/>
          <w:highlight w:val="none"/>
          <w14:ligatures w14:val="none"/>
        </w:rPr>
      </w:r>
      <w:r>
        <w:rPr>
          <w:rFonts w:ascii="PT Astra Sans" w:hAnsi="PT Astra Sans" w:eastAsia="PT Astra Sans" w:cs="PT Astra Sans"/>
          <w:sz w:val="26"/>
          <w:szCs w:val="26"/>
          <w:highlight w:val="none"/>
          <w14:ligatures w14:val="none"/>
        </w:rPr>
      </w:r>
      <w:r>
        <w:rPr>
          <w:rFonts w:ascii="PT Astra Sans" w:hAnsi="PT Astra Sans" w:cs="PT Astra Sans"/>
          <w:color w:val="auto"/>
          <w:sz w:val="26"/>
          <w:szCs w:val="26"/>
        </w:rPr>
      </w:r>
      <w:r>
        <w:rPr>
          <w:rFonts w:ascii="PT Astra Sans" w:hAnsi="PT Astra Sans" w:eastAsia="PT Astra Sans" w:cs="PT Astra Sans"/>
          <w:sz w:val="26"/>
          <w:szCs w:val="26"/>
          <w:highlight w:val="none"/>
          <w14:ligatures w14:val="none"/>
        </w:rPr>
      </w:r>
    </w:p>
    <w:p>
      <w:pPr>
        <w:ind w:left="0" w:right="0" w:firstLine="709"/>
        <w:jc w:val="both"/>
        <w:spacing w:line="240" w:lineRule="auto"/>
        <w:rPr>
          <w:rFonts w:ascii="PT Astra Sans" w:hAnsi="PT Astra Sans" w:eastAsia="PT Astra Sans" w:cs="PT Astra Sans"/>
          <w:sz w:val="26"/>
          <w:szCs w:val="26"/>
          <w:highlight w:val="none"/>
        </w:rPr>
      </w:pPr>
      <w:r>
        <w:rPr>
          <w:rFonts w:ascii="PT Astra Sans" w:hAnsi="PT Astra Sans" w:eastAsia="PT Astra Sans" w:cs="PT Astra Sans"/>
          <w:sz w:val="26"/>
          <w:szCs w:val="26"/>
        </w:rPr>
        <w:t xml:space="preserve"> Напоминаем, что геодезические пункты образуют единую </w:t>
      </w:r>
      <w:r>
        <w:rPr>
          <w:rFonts w:ascii="PT Astra Sans" w:hAnsi="PT Astra Sans" w:eastAsia="PT Astra Sans" w:cs="PT Astra Sans"/>
          <w:sz w:val="26"/>
          <w:szCs w:val="26"/>
        </w:rPr>
        <w:t xml:space="preserve">государственную геодезическую,  нивелирную и гравиметрические сети</w:t>
      </w:r>
      <w:r>
        <w:rPr>
          <w:rFonts w:ascii="PT Astra Sans" w:hAnsi="PT Astra Sans" w:eastAsia="PT Astra Sans" w:cs="PT Astra Sans"/>
          <w:sz w:val="26"/>
          <w:szCs w:val="26"/>
        </w:rPr>
        <w:t xml:space="preserve">, </w:t>
      </w:r>
      <w:r>
        <w:rPr>
          <w:rFonts w:ascii="PT Astra Sans" w:hAnsi="PT Astra Sans" w:eastAsia="PT Astra Sans" w:cs="PT Astra Sans"/>
          <w:sz w:val="26"/>
          <w:szCs w:val="26"/>
        </w:rPr>
        <w:t xml:space="preserve">относятся к федеральной собственности, находятся под охраной государства и рассчитаны на использование в течение длительного времени.</w:t>
      </w:r>
      <w:r>
        <w:rPr>
          <w:rFonts w:ascii="PT Astra Sans" w:hAnsi="PT Astra Sans" w:eastAsia="PT Astra Sans" w:cs="PT Astra Sans"/>
          <w:sz w:val="26"/>
          <w:szCs w:val="26"/>
        </w:rPr>
        <w:t xml:space="preserve"> </w:t>
      </w:r>
      <w:r>
        <w:rPr>
          <w:rFonts w:ascii="PT Astra Sans" w:hAnsi="PT Astra Sans" w:eastAsia="PT Astra Sans" w:cs="PT Astra Sans"/>
          <w:sz w:val="26"/>
          <w:szCs w:val="26"/>
          <w:highlight w:val="none"/>
        </w:rPr>
      </w:r>
      <w:r>
        <w:rPr>
          <w:rFonts w:ascii="PT Astra Sans" w:hAnsi="PT Astra Sans" w:eastAsia="PT Astra Sans" w:cs="PT Astra Sans"/>
          <w:sz w:val="26"/>
          <w:szCs w:val="26"/>
          <w:highlight w:val="none"/>
        </w:rPr>
      </w:r>
      <w:r>
        <w:rPr>
          <w:rFonts w:ascii="PT Astra Sans" w:hAnsi="PT Astra Sans" w:eastAsia="PT Astra Sans" w:cs="PT Astra Sans"/>
          <w:sz w:val="26"/>
          <w:szCs w:val="26"/>
          <w:highlight w:val="none"/>
        </w:rPr>
      </w:r>
      <w:r>
        <w:rPr>
          <w:rFonts w:ascii="PT Astra Sans" w:hAnsi="PT Astra Sans" w:eastAsia="PT Astra Sans" w:cs="PT Astra Sans"/>
          <w:sz w:val="26"/>
          <w:szCs w:val="26"/>
          <w:highlight w:val="none"/>
        </w:rPr>
      </w:r>
      <w:r>
        <w:rPr>
          <w:rFonts w:ascii="PT Astra Sans" w:hAnsi="PT Astra Sans" w:cs="PT Astra Sans"/>
          <w:sz w:val="26"/>
          <w:szCs w:val="26"/>
          <w:highlight w:val="none"/>
        </w:rPr>
      </w:r>
      <w:r>
        <w:rPr>
          <w:rFonts w:ascii="PT Astra Sans" w:hAnsi="PT Astra Sans" w:eastAsia="PT Astra Sans" w:cs="PT Astra Sans"/>
          <w:sz w:val="26"/>
          <w:szCs w:val="26"/>
          <w:highlight w:val="none"/>
        </w:rPr>
      </w:r>
    </w:p>
    <w:p>
      <w:pPr>
        <w:ind w:left="0" w:right="0" w:firstLine="709"/>
        <w:jc w:val="both"/>
        <w:spacing w:line="240" w:lineRule="auto"/>
        <w:rPr>
          <w:rFonts w:ascii="PT Astra Sans" w:hAnsi="PT Astra Sans" w:eastAsia="PT Astra Sans" w:cs="PT Astra Sans"/>
          <w:sz w:val="26"/>
          <w:szCs w:val="26"/>
          <w:highlight w:val="none"/>
        </w:rPr>
      </w:pPr>
      <w:r>
        <w:rPr>
          <w:rFonts w:ascii="PT Astra Sans" w:hAnsi="PT Astra Sans" w:eastAsia="PT Astra Sans" w:cs="PT Astra Sans"/>
          <w:sz w:val="26"/>
          <w:szCs w:val="26"/>
        </w:rPr>
      </w:r>
      <w:r>
        <w:rPr>
          <w:rFonts w:ascii="PT Astra Sans" w:hAnsi="PT Astra Sans" w:eastAsia="PT Astra Sans" w:cs="PT Astra Sans"/>
          <w:sz w:val="26"/>
          <w:szCs w:val="26"/>
        </w:rPr>
        <w:t xml:space="preserve">Обеспечение  сохранности</w:t>
      </w:r>
      <w:r>
        <w:rPr>
          <w:rFonts w:ascii="PT Astra Sans" w:hAnsi="PT Astra Sans" w:eastAsia="PT Astra Sans" w:cs="PT Astra Sans"/>
          <w:sz w:val="26"/>
          <w:szCs w:val="26"/>
        </w:rPr>
        <w:t xml:space="preserve"> пунктов, являющихся геодезической </w:t>
      </w:r>
      <w:r>
        <w:rPr>
          <w:rFonts w:ascii="PT Astra Sans" w:hAnsi="PT Astra Sans" w:eastAsia="PT Astra Sans" w:cs="PT Astra Sans"/>
          <w:sz w:val="26"/>
          <w:szCs w:val="26"/>
        </w:rPr>
        <w:t xml:space="preserve">основой Единого государственн</w:t>
      </w:r>
      <w:r>
        <w:rPr>
          <w:rFonts w:ascii="PT Astra Sans" w:hAnsi="PT Astra Sans" w:eastAsia="PT Astra Sans" w:cs="PT Astra Sans"/>
          <w:sz w:val="26"/>
          <w:szCs w:val="26"/>
        </w:rPr>
        <w:t xml:space="preserve">ого реестра недвижимости, необходимых</w:t>
      </w:r>
      <w:r>
        <w:rPr>
          <w:rFonts w:ascii="PT Astra Sans" w:hAnsi="PT Astra Sans" w:eastAsia="PT Astra Sans" w:cs="PT Astra Sans"/>
          <w:sz w:val="26"/>
          <w:szCs w:val="26"/>
        </w:rPr>
        <w:t xml:space="preserve"> для в</w:t>
      </w:r>
      <w:r>
        <w:rPr>
          <w:rFonts w:ascii="PT Astra Sans" w:hAnsi="PT Astra Sans" w:eastAsia="PT Astra Sans" w:cs="PT Astra Sans"/>
          <w:sz w:val="26"/>
          <w:szCs w:val="26"/>
        </w:rPr>
        <w:t xml:space="preserve">ыполнения геодезических и картографических работ при осуществлении градостроительной и кадастровой деятельности, землеустройства, недропользования, иной деятельности</w:t>
      </w:r>
      <w:r>
        <w:rPr>
          <w:rFonts w:ascii="PT Astra Sans" w:hAnsi="PT Astra Sans" w:eastAsia="PT Astra Sans" w:cs="PT Astra Sans"/>
          <w:sz w:val="26"/>
          <w:szCs w:val="26"/>
        </w:rPr>
        <w:t xml:space="preserve">, </w:t>
      </w:r>
      <w:r>
        <w:rPr>
          <w:rFonts w:ascii="PT Astra Sans" w:hAnsi="PT Astra Sans" w:eastAsia="PT Astra Sans" w:cs="PT Astra Sans"/>
          <w:sz w:val="26"/>
          <w:szCs w:val="26"/>
        </w:rPr>
        <w:t xml:space="preserve">имеет важное значение для </w:t>
      </w:r>
      <w:r>
        <w:rPr>
          <w:rFonts w:ascii="PT Astra Sans" w:hAnsi="PT Astra Sans" w:eastAsia="PT Astra Sans" w:cs="PT Astra Sans"/>
          <w:sz w:val="26"/>
          <w:szCs w:val="26"/>
        </w:rPr>
        <w:t xml:space="preserve"> решения общегосударственных, оборонных, научно–исследовательских задач</w:t>
      </w:r>
      <w:r>
        <w:rPr>
          <w:rFonts w:ascii="PT Astra Sans" w:hAnsi="PT Astra Sans" w:eastAsia="PT Astra Sans" w:cs="PT Astra Sans"/>
          <w:sz w:val="26"/>
          <w:szCs w:val="26"/>
        </w:rPr>
        <w:t xml:space="preserve">.</w:t>
      </w:r>
      <w:r>
        <w:rPr>
          <w:rFonts w:ascii="PT Astra Sans" w:hAnsi="PT Astra Sans" w:eastAsia="PT Astra Sans" w:cs="PT Astra Sans"/>
          <w:sz w:val="26"/>
          <w:szCs w:val="26"/>
          <w:highlight w:val="none"/>
        </w:rPr>
      </w:r>
      <w:r>
        <w:rPr>
          <w:rFonts w:ascii="PT Astra Sans" w:hAnsi="PT Astra Sans" w:eastAsia="PT Astra Sans" w:cs="PT Astra Sans"/>
          <w:sz w:val="26"/>
          <w:szCs w:val="26"/>
          <w:highlight w:val="none"/>
        </w:rPr>
      </w:r>
      <w:r>
        <w:rPr>
          <w:rFonts w:ascii="PT Astra Sans" w:hAnsi="PT Astra Sans" w:eastAsia="PT Astra Sans" w:cs="PT Astra Sans"/>
          <w:sz w:val="26"/>
          <w:szCs w:val="26"/>
          <w:highlight w:val="none"/>
        </w:rPr>
      </w:r>
      <w:r>
        <w:rPr>
          <w:rFonts w:ascii="PT Astra Sans" w:hAnsi="PT Astra Sans" w:eastAsia="PT Astra Sans" w:cs="PT Astra Sans"/>
          <w:sz w:val="26"/>
          <w:szCs w:val="26"/>
          <w:highlight w:val="none"/>
        </w:rPr>
      </w:r>
      <w:r>
        <w:rPr>
          <w:rFonts w:ascii="PT Astra Sans" w:hAnsi="PT Astra Sans" w:cs="PT Astra Sans"/>
          <w:sz w:val="26"/>
          <w:szCs w:val="26"/>
        </w:rPr>
      </w:r>
      <w:r>
        <w:rPr>
          <w:rFonts w:ascii="PT Astra Sans" w:hAnsi="PT Astra Sans" w:eastAsia="PT Astra Sans" w:cs="PT Astra Sans"/>
          <w:sz w:val="26"/>
          <w:szCs w:val="26"/>
          <w:highlight w:val="none"/>
        </w:rPr>
      </w:r>
    </w:p>
    <w:p>
      <w:pPr>
        <w:ind w:left="0" w:right="0" w:firstLine="709"/>
        <w:jc w:val="both"/>
        <w:spacing w:line="240" w:lineRule="auto"/>
        <w:rPr>
          <w:rFonts w:ascii="PT Astra Sans" w:hAnsi="PT Astra Sans" w:cs="PT Astra Sans"/>
          <w:color w:val="auto"/>
          <w:sz w:val="26"/>
          <w:szCs w:val="26"/>
          <w:highlight w:val="none"/>
        </w:rPr>
      </w:pP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У</w:t>
      </w: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ничтожение, повреждение</w:t>
      </w:r>
      <w:r>
        <w:rPr>
          <w:rFonts w:ascii="PT Astra Sans" w:hAnsi="PT Astra Sans" w:eastAsia="PT Astra Sans" w:cs="PT Astra Sans"/>
          <w:color w:val="auto"/>
          <w:spacing w:val="0"/>
          <w:sz w:val="26"/>
          <w:szCs w:val="26"/>
          <w:lang w:eastAsia="ru-RU"/>
        </w:rPr>
        <w:t xml:space="preserve"> или снос</w:t>
      </w: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 геодезических пунктов государственных сетей</w:t>
      </w: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,</w:t>
      </w:r>
      <w:r>
        <w:rPr>
          <w:rFonts w:ascii="PT Astra Sans" w:hAnsi="PT Astra Sans" w:eastAsia="PT Astra Sans" w:cs="PT Astra Sans"/>
          <w:color w:val="auto"/>
          <w:spacing w:val="0"/>
          <w:sz w:val="26"/>
          <w:szCs w:val="26"/>
          <w:lang w:eastAsia="ru-RU"/>
        </w:rPr>
        <w:t xml:space="preserve"> </w:t>
      </w:r>
      <w:r>
        <w:rPr>
          <w:rFonts w:ascii="PT Astra Sans" w:hAnsi="PT Astra Sans" w:eastAsia="PT Astra Sans" w:cs="PT Astra Sans"/>
          <w:color w:val="auto"/>
          <w:spacing w:val="0"/>
          <w:sz w:val="26"/>
          <w:szCs w:val="26"/>
          <w:lang w:eastAsia="ru-RU"/>
        </w:rPr>
        <w:t xml:space="preserve">неуведомление</w:t>
      </w:r>
      <w:r>
        <w:rPr>
          <w:rFonts w:ascii="PT Astra Sans" w:hAnsi="PT Astra Sans" w:eastAsia="PT Astra Sans" w:cs="PT Astra Sans"/>
          <w:color w:val="auto"/>
          <w:spacing w:val="0"/>
          <w:sz w:val="26"/>
          <w:szCs w:val="26"/>
          <w:lang w:eastAsia="ru-RU"/>
        </w:rPr>
        <w:t xml:space="preserve"> об уничтожении, повреждении или о сносе этих пунктов</w:t>
      </w: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, отказ </w:t>
      </w: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в предоставлении возможности </w:t>
      </w: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 подъезда (подхода) к этим пунктам </w:t>
      </w: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для проведения на них</w:t>
      </w: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 наблюдений,</w:t>
      </w: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 влечет наложение административного штрафа, а также возмещение вреда, причиненного федеральному имуществу (геодезическим пунктам), выплачиваемого лицами, причинившим</w:t>
      </w:r>
      <w:r>
        <w:rPr>
          <w:rFonts w:ascii="PT Astra Sans" w:hAnsi="PT Astra Sans" w:eastAsia="PT Astra Sans" w:cs="PT Astra Sans"/>
          <w:color w:val="auto"/>
          <w:sz w:val="26"/>
          <w:szCs w:val="26"/>
        </w:rPr>
        <w:t xml:space="preserve">и вред.</w:t>
      </w:r>
      <w:r>
        <w:rPr>
          <w:rFonts w:ascii="PT Astra Sans" w:hAnsi="PT Astra Sans" w:cs="PT Astra Sans"/>
          <w:color w:val="auto"/>
          <w:sz w:val="26"/>
          <w:szCs w:val="26"/>
          <w:highlight w:val="none"/>
        </w:rPr>
      </w:r>
      <w:r>
        <w:rPr>
          <w:rFonts w:ascii="PT Astra Sans" w:hAnsi="PT Astra Sans" w:cs="PT Astra Sans"/>
          <w:color w:val="auto"/>
          <w:sz w:val="26"/>
          <w:szCs w:val="26"/>
          <w:highlight w:val="none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cs="PT Astra Sans"/>
          <w:color w:val="292c2f"/>
          <w:sz w:val="26"/>
          <w:szCs w:val="26"/>
        </w:rPr>
      </w:pPr>
      <w:r>
        <w:rPr>
          <w:rFonts w:ascii="PT Astra Sans" w:hAnsi="PT Astra Sans" w:eastAsia="PT Astra Sans" w:cs="PT Astra Sans"/>
          <w:color w:val="292c2f"/>
          <w:sz w:val="26"/>
          <w:szCs w:val="26"/>
        </w:rPr>
      </w:r>
      <w:r>
        <w:rPr>
          <w:rFonts w:ascii="PT Astra Sans" w:hAnsi="PT Astra Sans" w:cs="PT Astra Sans"/>
          <w:color w:val="292c2f"/>
          <w:sz w:val="26"/>
          <w:szCs w:val="26"/>
        </w:rPr>
      </w:r>
      <w:r>
        <w:rPr>
          <w:rFonts w:ascii="PT Astra Sans" w:hAnsi="PT Astra Sans" w:cs="PT Astra Sans"/>
          <w:color w:val="292c2f"/>
          <w:sz w:val="26"/>
          <w:szCs w:val="26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cs="PT Astra Sans"/>
          <w:i/>
          <w:iCs/>
          <w:sz w:val="26"/>
          <w:szCs w:val="26"/>
        </w:rPr>
      </w:pPr>
      <w:r>
        <w:rPr>
          <w:rFonts w:ascii="PT Astra Sans" w:hAnsi="PT Astra Sans" w:eastAsia="PT Astra Sans" w:cs="PT Astra Sans"/>
          <w:i/>
          <w:iCs/>
          <w:sz w:val="26"/>
          <w:szCs w:val="26"/>
        </w:rPr>
        <w:t xml:space="preserve">Пресс-служба Управления </w:t>
      </w:r>
      <w:r>
        <w:rPr>
          <w:rFonts w:ascii="PT Astra Sans" w:hAnsi="PT Astra Sans" w:eastAsia="PT Astra Sans" w:cs="PT Astra Sans"/>
          <w:i/>
          <w:iCs/>
          <w:sz w:val="26"/>
          <w:szCs w:val="26"/>
        </w:rPr>
        <w:t xml:space="preserve">Росреестра</w:t>
      </w:r>
      <w:r>
        <w:rPr>
          <w:rFonts w:ascii="PT Astra Sans" w:hAnsi="PT Astra Sans" w:eastAsia="PT Astra Sans" w:cs="PT Astra Sans"/>
          <w:i/>
          <w:iCs/>
          <w:sz w:val="26"/>
          <w:szCs w:val="26"/>
        </w:rPr>
        <w:t xml:space="preserve"> по Иркутской области</w:t>
      </w:r>
      <w:r>
        <w:rPr>
          <w:rFonts w:ascii="PT Astra Sans" w:hAnsi="PT Astra Sans" w:cs="PT Astra Sans"/>
          <w:i/>
          <w:iCs/>
          <w:sz w:val="26"/>
          <w:szCs w:val="26"/>
        </w:rPr>
      </w:r>
      <w:r>
        <w:rPr>
          <w:rFonts w:ascii="PT Astra Sans" w:hAnsi="PT Astra Sans" w:cs="PT Astra Sans"/>
          <w:i/>
          <w:iCs/>
          <w:sz w:val="26"/>
          <w:szCs w:val="26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</w:r>
      <w:r>
        <w:rPr>
          <w:rFonts w:ascii="Arial" w:hAnsi="Arial" w:cs="Arial"/>
          <w:i/>
          <w:iCs/>
        </w:rPr>
      </w:r>
      <w:r>
        <w:rPr>
          <w:rFonts w:ascii="Arial" w:hAnsi="Arial" w:cs="Arial"/>
          <w:i/>
          <w:iCs/>
        </w:rPr>
      </w:r>
    </w:p>
    <w:p>
      <w:pPr>
        <w:ind w:left="0" w:right="0" w:firstLine="709"/>
        <w:jc w:val="both"/>
        <w:spacing w:line="240" w:lineRule="auto"/>
        <w:rPr>
          <w:rFonts w:ascii="PT Astra Sans" w:hAnsi="PT Astra Sans" w:eastAsia="PT Astra Sans" w:cs="PT Astra Sans"/>
          <w:sz w:val="26"/>
          <w:szCs w:val="26"/>
          <w:highlight w:val="none"/>
        </w:rPr>
      </w:pPr>
      <w:r>
        <w:rPr>
          <w:rFonts w:ascii="PT Astra Sans" w:hAnsi="PT Astra Sans" w:eastAsia="PT Astra Sans" w:cs="PT Astra Sans"/>
          <w:sz w:val="26"/>
          <w:szCs w:val="26"/>
          <w:highlight w:val="none"/>
        </w:rPr>
      </w:r>
      <w:r>
        <w:rPr>
          <w:rFonts w:ascii="PT Astra Sans" w:hAnsi="PT Astra Sans" w:eastAsia="PT Astra Sans" w:cs="PT Astra Sans"/>
          <w:sz w:val="26"/>
          <w:szCs w:val="26"/>
          <w:highlight w:val="none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cs="PT Astra Sans"/>
          <w:color w:val="292c2f"/>
          <w:sz w:val="26"/>
          <w:szCs w:val="26"/>
        </w:rPr>
      </w:pPr>
      <w:r>
        <w:rPr>
          <w:rFonts w:ascii="PT Astra Sans" w:hAnsi="PT Astra Sans" w:eastAsia="PT Astra Sans" w:cs="PT Astra Sans"/>
          <w:color w:val="292c2f"/>
          <w:sz w:val="26"/>
          <w:szCs w:val="26"/>
        </w:rPr>
      </w:r>
      <w:r>
        <w:rPr>
          <w:rFonts w:ascii="PT Astra Sans" w:hAnsi="PT Astra Sans" w:cs="PT Astra Sans"/>
          <w:color w:val="292c2f"/>
          <w:sz w:val="26"/>
          <w:szCs w:val="26"/>
        </w:rPr>
      </w:r>
      <w:r>
        <w:rPr>
          <w:rFonts w:ascii="PT Astra Sans" w:hAnsi="PT Astra Sans" w:cs="PT Astra Sans"/>
          <w:color w:val="292c2f"/>
          <w:sz w:val="26"/>
          <w:szCs w:val="26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</w:r>
      <w:r>
        <w:rPr>
          <w:rFonts w:ascii="Arial" w:hAnsi="Arial" w:cs="Arial"/>
          <w:i/>
          <w:iCs/>
        </w:rPr>
      </w:r>
      <w:r>
        <w:rPr>
          <w:rFonts w:ascii="Arial" w:hAnsi="Arial" w:cs="Arial"/>
          <w:i/>
          <w:iCs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</w:r>
      <w:r>
        <w:rPr>
          <w:rFonts w:ascii="Arial" w:hAnsi="Arial" w:cs="Arial"/>
          <w:i/>
          <w:iCs/>
        </w:rPr>
      </w:r>
      <w:r>
        <w:rPr>
          <w:rFonts w:ascii="Arial" w:hAnsi="Arial" w:cs="Arial"/>
          <w:i/>
          <w:iCs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10</cp:revision>
  <dcterms:created xsi:type="dcterms:W3CDTF">2024-02-13T03:39:00Z</dcterms:created>
  <dcterms:modified xsi:type="dcterms:W3CDTF">2024-12-09T06:44:46Z</dcterms:modified>
</cp:coreProperties>
</file>